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bCs/>
          <w:i w:val="0"/>
          <w:iCs w:val="0"/>
          <w:caps w:val="0"/>
          <w:color w:val="323534"/>
          <w:spacing w:val="0"/>
          <w:kern w:val="0"/>
          <w:sz w:val="28"/>
          <w:szCs w:val="28"/>
          <w:lang w:val="en-US" w:eastAsia="zh-CN" w:bidi="ar"/>
        </w:rPr>
      </w:pPr>
      <w:r>
        <w:rPr>
          <w:rFonts w:hint="eastAsia" w:ascii="微软雅黑" w:hAnsi="微软雅黑" w:eastAsia="微软雅黑" w:cs="微软雅黑"/>
          <w:b/>
          <w:bCs/>
          <w:i w:val="0"/>
          <w:iCs w:val="0"/>
          <w:caps w:val="0"/>
          <w:color w:val="323534"/>
          <w:spacing w:val="0"/>
          <w:kern w:val="0"/>
          <w:sz w:val="28"/>
          <w:szCs w:val="28"/>
          <w:lang w:val="en-US" w:eastAsia="zh-CN" w:bidi="ar"/>
        </w:rPr>
        <w:t>财政部 税务总局关于扩大全额退还增值税留抵税额政策行业范围的公告财政部 税务总局公告2022年第21号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0"/>
        <w:jc w:val="left"/>
        <w:textAlignment w:val="auto"/>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发布人：唐明</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发布时间：</w:t>
      </w:r>
      <w:r>
        <w:rPr>
          <w:rFonts w:hint="eastAsia" w:ascii="微软雅黑" w:hAnsi="微软雅黑" w:eastAsia="微软雅黑" w:cs="微软雅黑"/>
          <w:i w:val="0"/>
          <w:iCs w:val="0"/>
          <w:caps w:val="0"/>
          <w:color w:val="333333"/>
          <w:spacing w:val="0"/>
          <w:sz w:val="24"/>
          <w:szCs w:val="24"/>
        </w:rPr>
        <w:t>2022年</w:t>
      </w:r>
      <w:r>
        <w:rPr>
          <w:rFonts w:hint="eastAsia" w:ascii="微软雅黑" w:hAnsi="微软雅黑" w:eastAsia="微软雅黑" w:cs="微软雅黑"/>
          <w:i w:val="0"/>
          <w:iCs w:val="0"/>
          <w:caps w:val="0"/>
          <w:color w:val="333333"/>
          <w:spacing w:val="0"/>
          <w:sz w:val="24"/>
          <w:szCs w:val="24"/>
          <w:lang w:val="en-US" w:eastAsia="zh-CN"/>
        </w:rPr>
        <w:t>7</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lang w:val="en-US" w:eastAsia="zh-CN"/>
        </w:rPr>
        <w:t>31</w:t>
      </w:r>
      <w:r>
        <w:rPr>
          <w:rFonts w:hint="eastAsia" w:ascii="微软雅黑" w:hAnsi="微软雅黑" w:eastAsia="微软雅黑" w:cs="微软雅黑"/>
          <w:i w:val="0"/>
          <w:iCs w:val="0"/>
          <w:caps w:val="0"/>
          <w:color w:val="333333"/>
          <w:spacing w:val="0"/>
          <w:sz w:val="24"/>
          <w:szCs w:val="24"/>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信息来源：国家税务总局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both"/>
        <w:textAlignment w:val="auto"/>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center"/>
        <w:rPr>
          <w:rFonts w:hint="eastAsia" w:ascii="微软雅黑" w:hAnsi="微软雅黑" w:eastAsia="微软雅黑" w:cs="微软雅黑"/>
          <w:i w:val="0"/>
          <w:iCs w:val="0"/>
          <w:caps w:val="0"/>
          <w:color w:val="005DDC"/>
          <w:spacing w:val="0"/>
          <w:sz w:val="9"/>
          <w:szCs w:val="9"/>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为进一步加大增值税留抵退税政策实施力度，着力稳市场主体稳就业，现将扩大全额退还增值税留抵税额政策行业范围有关政策公告如下：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扩大全额退还增值税留抵税额政策行业范围，将《财政部 税务总局关于进一步加大增值税期末留抵退税政策实施力度的公告》（财政部 税务总局公告2022年第14号，以下称2022年第14号公告）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以下称批发零售业等行业）企业（含个体工商户，下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（一）符合条件的批发零售业等行业企业，可以自2022年7月纳税申报期起向主管税务机关申请退还增量留抵税额。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（二）符合条件的批发零售业等行业企业，可以自2022年7月纳税申报期起向主管税务机关申请一次性退还存量留抵税额。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2022年第14号公告和本公告所称制造业、批发零售业等行业企业，是指从事《国民经济行业分类》中“批发和零售业”、“农、林、牧、渔业”、“住宿和餐饮业”、“居民服务、修理和其他服务业”、“教育”、“卫生和社会工作”、“文化、体育和娱乐业”、“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上述销售额比重根据纳税人申请退税前连续12个月的销售额计算确定；申请退税前经营期不满12个月但满3个月的，按照实际经营期的销售额计算确定。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按照2022年第14号公告第六条规定适用《中小企业划型标准规定》（工信部联企业〔2011〕300号）和《金融业企业划型标准规定》（银发〔2015〕309号）时，纳税人的行业归属，根据《国民经济行业分类》关于以主要经济活动确定行业归属的原则，以上一会计年度从事《国民经济行业分类》对应业务增值税销售额占全部增值税销售额比重最高的行业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四、制造业、批发零售业等行业企业申请留抵退税的其他规定，继续按照2022年第14号公告等有关规定执行。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五、本公告第一条和第二条自2022年7月1日起执行；第三条自公告发布之日起执行。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各级财政和税务部门要坚决贯彻党中央、国务院决策部署，按照2022年第14号公告、《财政部 税务总局关于进一步加快增值税期末留抵退税政策实施进度的公告》（财政部 税务总局公告2022年第17号）、《财政部 税务总局关于进一步持续加快增值税期末留抵退税政策实施进度的公告》（财政部 税务总局公告2022年第19号）和本公告有关要求，在纳税人自愿申请的基础上，狠抓落实，持续加快留抵退税进度。同时，严密防范退税风险，严厉打击骗税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财政部 税务总局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2022年6月7日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zg2NGZhMDc3Yzk3ZjA5ZTEyN2JiMDYyYTE0YjgifQ=="/>
  </w:docVars>
  <w:rsids>
    <w:rsidRoot w:val="201971FF"/>
    <w:rsid w:val="1AE40FC1"/>
    <w:rsid w:val="201971FF"/>
    <w:rsid w:val="214B5417"/>
    <w:rsid w:val="7D32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1226</Words>
  <Characters>1291</Characters>
  <Lines>0</Lines>
  <Paragraphs>0</Paragraphs>
  <TotalTime>0</TotalTime>
  <ScaleCrop>false</ScaleCrop>
  <LinksUpToDate>false</LinksUpToDate>
  <CharactersWithSpaces>1293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2022-07-31T06:10:00Z</dcterms:created>
  <dc:creator>糖糖正正</dc:creator>
  <cp:lastModifiedBy>糖糖正正</cp:lastModifiedBy>
  <dcterms:modified xsi:type="dcterms:W3CDTF">2022-08-03T14:32:06Z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046E6AEA259D4685BD0D303F0A88314F</vt:lpwstr>
  </property>
</Properties>
</file>